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7321" w14:textId="42A037C4" w:rsidR="00676371" w:rsidRDefault="00676371">
      <w:pPr>
        <w:pStyle w:val="Address"/>
        <w:rPr>
          <w:sz w:val="20"/>
          <w:szCs w:val="20"/>
        </w:rPr>
      </w:pPr>
    </w:p>
    <w:p w14:paraId="6597184F" w14:textId="77777777" w:rsidR="007B0FAA" w:rsidRDefault="007B0FAA" w:rsidP="004E7336">
      <w:pPr>
        <w:pStyle w:val="Address"/>
        <w:jc w:val="left"/>
        <w:rPr>
          <w:sz w:val="20"/>
          <w:szCs w:val="20"/>
        </w:rPr>
      </w:pPr>
    </w:p>
    <w:p w14:paraId="5A982DFF" w14:textId="21C5968F" w:rsidR="007B0FAA" w:rsidRDefault="004E7336">
      <w:pPr>
        <w:pStyle w:val="Address"/>
        <w:rPr>
          <w:sz w:val="20"/>
          <w:szCs w:val="20"/>
        </w:rPr>
      </w:pPr>
      <w:r>
        <w:rPr>
          <w:noProof/>
        </w:rPr>
        <w:drawing>
          <wp:inline distT="0" distB="0" distL="0" distR="0" wp14:anchorId="342DADAA" wp14:editId="4E068FBA">
            <wp:extent cx="5274310" cy="84070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800CE" w14:textId="77777777" w:rsidR="007B0FAA" w:rsidRDefault="007B0FAA">
      <w:pPr>
        <w:pStyle w:val="Address"/>
        <w:rPr>
          <w:sz w:val="20"/>
          <w:szCs w:val="20"/>
        </w:rPr>
      </w:pPr>
    </w:p>
    <w:p w14:paraId="0DC445F0" w14:textId="18629C41" w:rsidR="00553A1A" w:rsidRPr="007D09A8" w:rsidRDefault="00553A1A" w:rsidP="00553A1A">
      <w:pPr>
        <w:rPr>
          <w:rFonts w:ascii="Arial" w:hAnsi="Arial" w:cs="Arial"/>
          <w:sz w:val="22"/>
          <w:szCs w:val="22"/>
        </w:rPr>
      </w:pPr>
      <w:bookmarkStart w:id="0" w:name="anti-bribery-and-corruption-policy"/>
    </w:p>
    <w:p w14:paraId="3A77757C" w14:textId="77777777" w:rsidR="00553A1A" w:rsidRPr="00553A1A" w:rsidRDefault="00553A1A" w:rsidP="00553A1A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policy-statement"/>
      <w:r w:rsidRPr="00553A1A">
        <w:rPr>
          <w:rFonts w:ascii="Arial" w:hAnsi="Arial" w:cs="Arial"/>
          <w:b/>
          <w:bCs/>
          <w:color w:val="auto"/>
          <w:sz w:val="22"/>
          <w:szCs w:val="22"/>
        </w:rPr>
        <w:t>1. Policy Statement</w:t>
      </w:r>
    </w:p>
    <w:p w14:paraId="13E2EADE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The Company is committed to conducting all business activities honestly, ethically, and with integrity. We operate a zero-tolerance approach to bribery and corruption and are committed to complying with the requirements of the UK Bribery Act 2010 and APSCo compliance standards.</w:t>
      </w:r>
    </w:p>
    <w:p w14:paraId="035911CE" w14:textId="77777777" w:rsidR="00553A1A" w:rsidRPr="00791057" w:rsidRDefault="00553A1A" w:rsidP="00553A1A">
      <w:pPr>
        <w:pStyle w:val="BodyText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This policy applies to all employees, directors, agency workers, contractors, consultants, tutors, temporary staff, volunteers, and any third parties acting on behalf of the Company.</w:t>
      </w:r>
    </w:p>
    <w:p w14:paraId="0B0CC66F" w14:textId="77777777" w:rsidR="00553A1A" w:rsidRPr="00553A1A" w:rsidRDefault="00553A1A" w:rsidP="00553A1A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purpose"/>
      <w:bookmarkEnd w:id="1"/>
      <w:r w:rsidRPr="00553A1A">
        <w:rPr>
          <w:rFonts w:ascii="Arial" w:hAnsi="Arial" w:cs="Arial"/>
          <w:b/>
          <w:bCs/>
          <w:color w:val="auto"/>
          <w:sz w:val="22"/>
          <w:szCs w:val="22"/>
        </w:rPr>
        <w:t>2. Purpose</w:t>
      </w:r>
    </w:p>
    <w:p w14:paraId="04254574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The purpose of this policy is to:</w:t>
      </w:r>
    </w:p>
    <w:p w14:paraId="24E61E4D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Prevent bribery and corruption in all business dealings.</w:t>
      </w:r>
    </w:p>
    <w:p w14:paraId="2B253B6D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Promote a culture of integrity and transparency.</w:t>
      </w:r>
    </w:p>
    <w:p w14:paraId="4E659B10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Protect the Company’s reputation.</w:t>
      </w:r>
    </w:p>
    <w:p w14:paraId="2AFAA62E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Ensure compliance with legal and regulatory requirements.</w:t>
      </w:r>
    </w:p>
    <w:p w14:paraId="6CC605BB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 xml:space="preserve">Provide guidance on </w:t>
      </w:r>
      <w:proofErr w:type="spellStart"/>
      <w:r w:rsidRPr="00791057">
        <w:rPr>
          <w:rFonts w:ascii="Arial" w:hAnsi="Arial" w:cs="Arial"/>
          <w:sz w:val="22"/>
          <w:szCs w:val="22"/>
        </w:rPr>
        <w:t>recognising</w:t>
      </w:r>
      <w:proofErr w:type="spellEnd"/>
      <w:r w:rsidRPr="00791057">
        <w:rPr>
          <w:rFonts w:ascii="Arial" w:hAnsi="Arial" w:cs="Arial"/>
          <w:sz w:val="22"/>
          <w:szCs w:val="22"/>
        </w:rPr>
        <w:t xml:space="preserve"> and responding to bribery risks.</w:t>
      </w:r>
    </w:p>
    <w:p w14:paraId="03D6BAAB" w14:textId="77777777" w:rsidR="00553A1A" w:rsidRPr="00553A1A" w:rsidRDefault="00553A1A" w:rsidP="00553A1A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definition-of-bribery"/>
      <w:bookmarkEnd w:id="2"/>
      <w:r w:rsidRPr="00553A1A">
        <w:rPr>
          <w:rFonts w:ascii="Arial" w:hAnsi="Arial" w:cs="Arial"/>
          <w:b/>
          <w:bCs/>
          <w:color w:val="auto"/>
          <w:sz w:val="22"/>
          <w:szCs w:val="22"/>
        </w:rPr>
        <w:t>3. Definition of Bribery</w:t>
      </w:r>
    </w:p>
    <w:p w14:paraId="5FC3DC9B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Bribery is the offering, promising, giving, requesting, agreeing to receive, or accepting of an advantage or benefit intended to improperly influence a decision or secure an improper business advantage.</w:t>
      </w:r>
    </w:p>
    <w:p w14:paraId="77F2FFC5" w14:textId="77777777" w:rsidR="00553A1A" w:rsidRPr="00553A1A" w:rsidRDefault="00553A1A" w:rsidP="00553A1A">
      <w:pPr>
        <w:pStyle w:val="BodyText"/>
        <w:rPr>
          <w:rFonts w:ascii="Arial" w:hAnsi="Arial" w:cs="Arial"/>
          <w:sz w:val="22"/>
          <w:szCs w:val="22"/>
        </w:rPr>
      </w:pPr>
      <w:r w:rsidRPr="00553A1A">
        <w:rPr>
          <w:rFonts w:ascii="Arial" w:hAnsi="Arial" w:cs="Arial"/>
          <w:sz w:val="22"/>
          <w:szCs w:val="22"/>
        </w:rPr>
        <w:t>Examples include:</w:t>
      </w:r>
    </w:p>
    <w:p w14:paraId="404B2420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Cash payments.</w:t>
      </w:r>
    </w:p>
    <w:p w14:paraId="1DB5A755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Gifts of significant value.</w:t>
      </w:r>
    </w:p>
    <w:p w14:paraId="5CE13B33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Excessive hospitality.</w:t>
      </w:r>
    </w:p>
    <w:p w14:paraId="47A8ECC4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Undisclosed commissions.</w:t>
      </w:r>
    </w:p>
    <w:p w14:paraId="369001DB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Facilitation payments.</w:t>
      </w:r>
    </w:p>
    <w:p w14:paraId="4DA4028D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 xml:space="preserve">Personal </w:t>
      </w:r>
      <w:proofErr w:type="spellStart"/>
      <w:r w:rsidRPr="00791057">
        <w:rPr>
          <w:rFonts w:ascii="Arial" w:hAnsi="Arial" w:cs="Arial"/>
          <w:sz w:val="22"/>
          <w:szCs w:val="22"/>
        </w:rPr>
        <w:t>favours</w:t>
      </w:r>
      <w:proofErr w:type="spellEnd"/>
      <w:r w:rsidRPr="00791057">
        <w:rPr>
          <w:rFonts w:ascii="Arial" w:hAnsi="Arial" w:cs="Arial"/>
          <w:sz w:val="22"/>
          <w:szCs w:val="22"/>
        </w:rPr>
        <w:t xml:space="preserve"> intended to influence business decisions.</w:t>
      </w:r>
    </w:p>
    <w:p w14:paraId="2802CCD1" w14:textId="77777777" w:rsidR="00553A1A" w:rsidRPr="00791057" w:rsidRDefault="00553A1A" w:rsidP="00553A1A">
      <w:pPr>
        <w:pStyle w:val="Heading2"/>
        <w:rPr>
          <w:rFonts w:ascii="Arial" w:hAnsi="Arial" w:cs="Arial"/>
          <w:color w:val="auto"/>
          <w:sz w:val="22"/>
          <w:szCs w:val="22"/>
        </w:rPr>
      </w:pPr>
      <w:bookmarkStart w:id="4" w:name="prohibited-conduct"/>
      <w:bookmarkEnd w:id="3"/>
      <w:r w:rsidRPr="00791057">
        <w:rPr>
          <w:rFonts w:ascii="Arial" w:hAnsi="Arial" w:cs="Arial"/>
          <w:color w:val="auto"/>
          <w:sz w:val="22"/>
          <w:szCs w:val="22"/>
        </w:rPr>
        <w:t>4. Prohibited Conduct</w:t>
      </w:r>
    </w:p>
    <w:p w14:paraId="0E782F7E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The Company prohibits:</w:t>
      </w:r>
    </w:p>
    <w:p w14:paraId="33C2A5C7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Offering or giving bribes.</w:t>
      </w:r>
    </w:p>
    <w:p w14:paraId="4D5E9530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Requesting or accepting bribes.</w:t>
      </w:r>
    </w:p>
    <w:p w14:paraId="408E40BB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Making facilitation payments.</w:t>
      </w:r>
    </w:p>
    <w:p w14:paraId="2C562E29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Providing improper gifts or hospitality.</w:t>
      </w:r>
    </w:p>
    <w:p w14:paraId="0135A7C6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Using third parties to undertake bribery on the Company’s behalf.</w:t>
      </w:r>
    </w:p>
    <w:p w14:paraId="02721859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Offering employment, contracts, placements, or commercial advantages in exchange for improper benefits.</w:t>
      </w:r>
    </w:p>
    <w:p w14:paraId="6E1CB166" w14:textId="77777777" w:rsidR="00553A1A" w:rsidRPr="00553A1A" w:rsidRDefault="00553A1A" w:rsidP="00553A1A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5" w:name="gifts-and-hospitality"/>
      <w:bookmarkEnd w:id="4"/>
      <w:r w:rsidRPr="00553A1A">
        <w:rPr>
          <w:rFonts w:ascii="Arial" w:hAnsi="Arial" w:cs="Arial"/>
          <w:b/>
          <w:bCs/>
          <w:color w:val="auto"/>
          <w:sz w:val="22"/>
          <w:szCs w:val="22"/>
        </w:rPr>
        <w:t>5. Gifts and Hospitality</w:t>
      </w:r>
    </w:p>
    <w:p w14:paraId="5DCE7BB1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Reasonable and proportionate hospitality may be accepted or provided where it:</w:t>
      </w:r>
    </w:p>
    <w:p w14:paraId="556C1A87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lastRenderedPageBreak/>
        <w:t>Has a legitimate business purpose.</w:t>
      </w:r>
    </w:p>
    <w:p w14:paraId="2F429618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Is transparent and properly recorded.</w:t>
      </w:r>
    </w:p>
    <w:p w14:paraId="2884E386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Does not influence decision-making.</w:t>
      </w:r>
    </w:p>
    <w:p w14:paraId="0D194621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proofErr w:type="gramStart"/>
      <w:r w:rsidRPr="00791057">
        <w:rPr>
          <w:rFonts w:ascii="Arial" w:hAnsi="Arial" w:cs="Arial"/>
          <w:sz w:val="22"/>
          <w:szCs w:val="22"/>
        </w:rPr>
        <w:t>Complies</w:t>
      </w:r>
      <w:proofErr w:type="gramEnd"/>
      <w:r w:rsidRPr="00791057">
        <w:rPr>
          <w:rFonts w:ascii="Arial" w:hAnsi="Arial" w:cs="Arial"/>
          <w:sz w:val="22"/>
          <w:szCs w:val="22"/>
        </w:rPr>
        <w:t xml:space="preserve"> with client and public-sector rules.</w:t>
      </w:r>
    </w:p>
    <w:p w14:paraId="1DA4072E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The following must not be accepted or offered:</w:t>
      </w:r>
    </w:p>
    <w:p w14:paraId="38B4231D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Cash or cash equivalents.</w:t>
      </w:r>
    </w:p>
    <w:p w14:paraId="71B3DA3C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Personal payments.</w:t>
      </w:r>
    </w:p>
    <w:p w14:paraId="1BC833AC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Lavish entertainment.</w:t>
      </w:r>
    </w:p>
    <w:p w14:paraId="6A731B55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Gifts intended to influence a procurement or recruitment decision.</w:t>
      </w:r>
    </w:p>
    <w:p w14:paraId="5CEC8184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All gifts and hospitality above £50 must be declared and approved by senior management.</w:t>
      </w:r>
    </w:p>
    <w:p w14:paraId="78318588" w14:textId="77777777" w:rsidR="00553A1A" w:rsidRPr="00553A1A" w:rsidRDefault="00553A1A" w:rsidP="00553A1A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6" w:name="recruitment-and-education-sector-risks"/>
      <w:bookmarkEnd w:id="5"/>
      <w:r w:rsidRPr="00553A1A">
        <w:rPr>
          <w:rFonts w:ascii="Arial" w:hAnsi="Arial" w:cs="Arial"/>
          <w:b/>
          <w:bCs/>
          <w:color w:val="auto"/>
          <w:sz w:val="22"/>
          <w:szCs w:val="22"/>
        </w:rPr>
        <w:t>6. Recruitment and Education Sector Risks</w:t>
      </w:r>
    </w:p>
    <w:p w14:paraId="1EDCB7C8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proofErr w:type="gramStart"/>
      <w:r w:rsidRPr="00791057">
        <w:rPr>
          <w:rFonts w:ascii="Arial" w:hAnsi="Arial" w:cs="Arial"/>
          <w:sz w:val="22"/>
          <w:szCs w:val="22"/>
        </w:rPr>
        <w:t>Particular care</w:t>
      </w:r>
      <w:proofErr w:type="gramEnd"/>
      <w:r w:rsidRPr="00791057">
        <w:rPr>
          <w:rFonts w:ascii="Arial" w:hAnsi="Arial" w:cs="Arial"/>
          <w:sz w:val="22"/>
          <w:szCs w:val="22"/>
        </w:rPr>
        <w:t xml:space="preserve"> must be taken when dealing with:</w:t>
      </w:r>
    </w:p>
    <w:p w14:paraId="1483336C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School and local authority procurement exercises.</w:t>
      </w:r>
    </w:p>
    <w:p w14:paraId="08587FD1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Framework and tender opportunities.</w:t>
      </w:r>
    </w:p>
    <w:p w14:paraId="462C36A3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Supplier selection.</w:t>
      </w:r>
    </w:p>
    <w:p w14:paraId="2938F085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Examination arrangements.</w:t>
      </w:r>
    </w:p>
    <w:p w14:paraId="086FE7FA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Placement decisions.</w:t>
      </w:r>
    </w:p>
    <w:p w14:paraId="48230423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Safeguarding-related services.</w:t>
      </w:r>
    </w:p>
    <w:p w14:paraId="026293E7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No employee may offer any inducement to secure contracts, placements, referrals, or commercial advantage.</w:t>
      </w:r>
    </w:p>
    <w:p w14:paraId="1AD0A896" w14:textId="77777777" w:rsidR="00553A1A" w:rsidRPr="00553A1A" w:rsidRDefault="00553A1A" w:rsidP="00553A1A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7" w:name="third-parties"/>
      <w:bookmarkEnd w:id="6"/>
      <w:r w:rsidRPr="00553A1A">
        <w:rPr>
          <w:rFonts w:ascii="Arial" w:hAnsi="Arial" w:cs="Arial"/>
          <w:b/>
          <w:bCs/>
          <w:color w:val="auto"/>
          <w:sz w:val="22"/>
          <w:szCs w:val="22"/>
        </w:rPr>
        <w:t>7. Third Parties</w:t>
      </w:r>
    </w:p>
    <w:p w14:paraId="51E047A7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The Company expects suppliers, subcontractors, consultants, and business partners to operate to equivalent anti-bribery standards.</w:t>
      </w:r>
    </w:p>
    <w:p w14:paraId="2429B540" w14:textId="77777777" w:rsidR="00553A1A" w:rsidRPr="00791057" w:rsidRDefault="00553A1A" w:rsidP="00553A1A">
      <w:pPr>
        <w:pStyle w:val="BodyText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 xml:space="preserve">Appropriate due diligence will be undertaken before </w:t>
      </w:r>
      <w:proofErr w:type="gramStart"/>
      <w:r w:rsidRPr="00791057">
        <w:rPr>
          <w:rFonts w:ascii="Arial" w:hAnsi="Arial" w:cs="Arial"/>
          <w:sz w:val="22"/>
          <w:szCs w:val="22"/>
        </w:rPr>
        <w:t>entering into</w:t>
      </w:r>
      <w:proofErr w:type="gramEnd"/>
      <w:r w:rsidRPr="00791057">
        <w:rPr>
          <w:rFonts w:ascii="Arial" w:hAnsi="Arial" w:cs="Arial"/>
          <w:sz w:val="22"/>
          <w:szCs w:val="22"/>
        </w:rPr>
        <w:t xml:space="preserve"> significant commercial relationships.</w:t>
      </w:r>
    </w:p>
    <w:p w14:paraId="6F1B1B15" w14:textId="77777777" w:rsidR="00553A1A" w:rsidRPr="00553A1A" w:rsidRDefault="00553A1A" w:rsidP="00553A1A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8" w:name="record-keeping"/>
      <w:bookmarkEnd w:id="7"/>
      <w:r w:rsidRPr="00553A1A">
        <w:rPr>
          <w:rFonts w:ascii="Arial" w:hAnsi="Arial" w:cs="Arial"/>
          <w:b/>
          <w:bCs/>
          <w:color w:val="auto"/>
          <w:sz w:val="22"/>
          <w:szCs w:val="22"/>
        </w:rPr>
        <w:t>8. Record Keeping</w:t>
      </w:r>
    </w:p>
    <w:p w14:paraId="7DEAF5BA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Accurate books, records, and accounts must be maintained.</w:t>
      </w:r>
    </w:p>
    <w:p w14:paraId="39E1DF93" w14:textId="77777777" w:rsidR="00553A1A" w:rsidRPr="00791057" w:rsidRDefault="00553A1A" w:rsidP="00553A1A">
      <w:pPr>
        <w:pStyle w:val="BodyText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Employees must ensure that:</w:t>
      </w:r>
    </w:p>
    <w:p w14:paraId="294ADFBF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Expenses are properly recorded.</w:t>
      </w:r>
    </w:p>
    <w:p w14:paraId="387677F5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Hospitality is documented.</w:t>
      </w:r>
    </w:p>
    <w:p w14:paraId="33E4B61D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Approval processes are followed.</w:t>
      </w:r>
    </w:p>
    <w:p w14:paraId="682B54A5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Financial transactions are transparent and auditable.</w:t>
      </w:r>
    </w:p>
    <w:p w14:paraId="615B1D2C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False, misleading, or incomplete records are prohibited.</w:t>
      </w:r>
    </w:p>
    <w:p w14:paraId="7F7B1C03" w14:textId="77777777" w:rsidR="00553A1A" w:rsidRPr="00553A1A" w:rsidRDefault="00553A1A" w:rsidP="00553A1A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9" w:name="reporting-concerns"/>
      <w:bookmarkEnd w:id="8"/>
      <w:r w:rsidRPr="00553A1A">
        <w:rPr>
          <w:rFonts w:ascii="Arial" w:hAnsi="Arial" w:cs="Arial"/>
          <w:b/>
          <w:bCs/>
          <w:color w:val="auto"/>
          <w:sz w:val="22"/>
          <w:szCs w:val="22"/>
        </w:rPr>
        <w:t>9. Reporting Concerns</w:t>
      </w:r>
    </w:p>
    <w:p w14:paraId="30EEA909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Employees must immediately report any suspected bribery, corruption, fraud, or unethical conduct to:</w:t>
      </w:r>
    </w:p>
    <w:p w14:paraId="4ED7812E" w14:textId="444D736D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Their Line Manager.</w:t>
      </w:r>
    </w:p>
    <w:p w14:paraId="3C83A36B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The Compliance Manager; or</w:t>
      </w:r>
    </w:p>
    <w:p w14:paraId="21211451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The Managing Director.</w:t>
      </w:r>
    </w:p>
    <w:p w14:paraId="0D15361B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Reports will be investigated promptly and confidentially.</w:t>
      </w:r>
    </w:p>
    <w:p w14:paraId="01C952A6" w14:textId="77777777" w:rsidR="00553A1A" w:rsidRPr="00553A1A" w:rsidRDefault="00553A1A" w:rsidP="00553A1A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10" w:name="protection-for-whistleblowers"/>
      <w:bookmarkEnd w:id="9"/>
      <w:r w:rsidRPr="00553A1A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10. Protection for Whistleblowers</w:t>
      </w:r>
    </w:p>
    <w:p w14:paraId="23745D8F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No employee will suffer retaliation for reporting a genuine concern in good faith.</w:t>
      </w:r>
    </w:p>
    <w:p w14:paraId="4235F3B8" w14:textId="77777777" w:rsidR="00553A1A" w:rsidRPr="00791057" w:rsidRDefault="00553A1A" w:rsidP="00553A1A">
      <w:pPr>
        <w:pStyle w:val="BodyText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The Company is committed to protecting individuals who raise concerns about suspected wrongdoing.</w:t>
      </w:r>
    </w:p>
    <w:p w14:paraId="2AD3B03D" w14:textId="77777777" w:rsidR="00553A1A" w:rsidRPr="00553A1A" w:rsidRDefault="00553A1A" w:rsidP="00553A1A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11" w:name="training"/>
      <w:bookmarkEnd w:id="10"/>
      <w:r w:rsidRPr="00553A1A">
        <w:rPr>
          <w:rFonts w:ascii="Arial" w:hAnsi="Arial" w:cs="Arial"/>
          <w:b/>
          <w:bCs/>
          <w:color w:val="auto"/>
          <w:sz w:val="22"/>
          <w:szCs w:val="22"/>
        </w:rPr>
        <w:t>11. Training</w:t>
      </w:r>
    </w:p>
    <w:p w14:paraId="161CD833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All employees shall receive appropriate training on:</w:t>
      </w:r>
    </w:p>
    <w:p w14:paraId="6B9ECD4E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Anti-bribery obligations.</w:t>
      </w:r>
    </w:p>
    <w:p w14:paraId="46370CB1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Ethical conduct.</w:t>
      </w:r>
    </w:p>
    <w:p w14:paraId="48EEB6BF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Procurement integrity.</w:t>
      </w:r>
    </w:p>
    <w:p w14:paraId="08E58C11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Reporting concerns.</w:t>
      </w:r>
    </w:p>
    <w:p w14:paraId="693B1102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Training records shall be maintained.</w:t>
      </w:r>
    </w:p>
    <w:p w14:paraId="1A0879B5" w14:textId="77777777" w:rsidR="00553A1A" w:rsidRPr="00553A1A" w:rsidRDefault="00553A1A" w:rsidP="00553A1A">
      <w:pPr>
        <w:pStyle w:val="Heading2"/>
        <w:rPr>
          <w:rFonts w:ascii="Arial" w:hAnsi="Arial" w:cs="Arial"/>
          <w:color w:val="auto"/>
          <w:sz w:val="22"/>
          <w:szCs w:val="22"/>
        </w:rPr>
      </w:pPr>
      <w:bookmarkStart w:id="12" w:name="breaches-of-policy"/>
      <w:bookmarkEnd w:id="11"/>
      <w:r w:rsidRPr="00553A1A">
        <w:rPr>
          <w:rFonts w:ascii="Arial" w:hAnsi="Arial" w:cs="Arial"/>
          <w:color w:val="auto"/>
          <w:sz w:val="22"/>
          <w:szCs w:val="22"/>
        </w:rPr>
        <w:t>12. Breaches of Policy</w:t>
      </w:r>
    </w:p>
    <w:p w14:paraId="5231D185" w14:textId="7777777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Any breach of this policy may result in:</w:t>
      </w:r>
    </w:p>
    <w:p w14:paraId="5C3FC111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Disciplinary action.</w:t>
      </w:r>
    </w:p>
    <w:p w14:paraId="14DE9CA5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Termination of employment or contract.</w:t>
      </w:r>
    </w:p>
    <w:p w14:paraId="3B2C15E5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Referral to law enforcement authorities.</w:t>
      </w:r>
    </w:p>
    <w:p w14:paraId="2550D5A0" w14:textId="77777777" w:rsidR="00553A1A" w:rsidRPr="00791057" w:rsidRDefault="00553A1A" w:rsidP="00553A1A">
      <w:pPr>
        <w:pStyle w:val="Compac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Civil or criminal proceedings.</w:t>
      </w:r>
    </w:p>
    <w:p w14:paraId="29201007" w14:textId="77777777" w:rsidR="00553A1A" w:rsidRPr="00553A1A" w:rsidRDefault="00553A1A" w:rsidP="00553A1A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13" w:name="monitoring-and-review"/>
      <w:bookmarkEnd w:id="12"/>
      <w:r w:rsidRPr="00553A1A">
        <w:rPr>
          <w:rFonts w:ascii="Arial" w:hAnsi="Arial" w:cs="Arial"/>
          <w:b/>
          <w:bCs/>
          <w:color w:val="auto"/>
          <w:sz w:val="22"/>
          <w:szCs w:val="22"/>
        </w:rPr>
        <w:t>13. Monitoring and Review</w:t>
      </w:r>
    </w:p>
    <w:p w14:paraId="1E258690" w14:textId="77777777" w:rsidR="00983B35" w:rsidRDefault="00983B35" w:rsidP="00553A1A">
      <w:pPr>
        <w:pStyle w:val="FirstParagraph"/>
        <w:rPr>
          <w:rFonts w:ascii="Arial" w:hAnsi="Arial" w:cs="Arial"/>
          <w:sz w:val="22"/>
          <w:szCs w:val="22"/>
        </w:rPr>
      </w:pPr>
    </w:p>
    <w:p w14:paraId="4E139929" w14:textId="1A1120D7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 xml:space="preserve">The Company will review this policy annually and whenever significant legislative or </w:t>
      </w:r>
      <w:proofErr w:type="spellStart"/>
      <w:r w:rsidRPr="00791057">
        <w:rPr>
          <w:rFonts w:ascii="Arial" w:hAnsi="Arial" w:cs="Arial"/>
          <w:sz w:val="22"/>
          <w:szCs w:val="22"/>
        </w:rPr>
        <w:t>organisational</w:t>
      </w:r>
      <w:proofErr w:type="spellEnd"/>
      <w:r w:rsidRPr="00791057">
        <w:rPr>
          <w:rFonts w:ascii="Arial" w:hAnsi="Arial" w:cs="Arial"/>
          <w:sz w:val="22"/>
          <w:szCs w:val="22"/>
        </w:rPr>
        <w:t xml:space="preserve"> changes occur.</w:t>
      </w:r>
    </w:p>
    <w:p w14:paraId="60E791B5" w14:textId="77777777" w:rsidR="00553A1A" w:rsidRPr="00983B35" w:rsidRDefault="00553A1A" w:rsidP="00553A1A">
      <w:pPr>
        <w:pStyle w:val="Heading2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document-control"/>
      <w:bookmarkEnd w:id="13"/>
      <w:r w:rsidRPr="00983B35">
        <w:rPr>
          <w:rFonts w:ascii="Arial" w:hAnsi="Arial" w:cs="Arial"/>
          <w:b/>
          <w:bCs/>
          <w:color w:val="auto"/>
          <w:sz w:val="22"/>
          <w:szCs w:val="22"/>
        </w:rPr>
        <w:t>Document Control</w:t>
      </w:r>
    </w:p>
    <w:p w14:paraId="2ECDC876" w14:textId="4DD230DD" w:rsidR="00553A1A" w:rsidRPr="00791057" w:rsidRDefault="00553A1A" w:rsidP="00553A1A">
      <w:pPr>
        <w:pStyle w:val="FirstParagraph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 xml:space="preserve">Policy Owner: </w:t>
      </w:r>
      <w:r>
        <w:rPr>
          <w:rFonts w:ascii="Arial" w:hAnsi="Arial" w:cs="Arial"/>
          <w:sz w:val="22"/>
          <w:szCs w:val="22"/>
        </w:rPr>
        <w:t>Richard Wilson MD -</w:t>
      </w:r>
      <w:r w:rsidRPr="00791057">
        <w:rPr>
          <w:rFonts w:ascii="Arial" w:hAnsi="Arial" w:cs="Arial"/>
          <w:sz w:val="22"/>
          <w:szCs w:val="22"/>
        </w:rPr>
        <w:t>Compliance Manager</w:t>
      </w:r>
    </w:p>
    <w:p w14:paraId="27902C70" w14:textId="7DEA67A7" w:rsidR="00553A1A" w:rsidRPr="00791057" w:rsidRDefault="00553A1A" w:rsidP="00553A1A">
      <w:pPr>
        <w:pStyle w:val="BodyText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 xml:space="preserve">Approved By: </w:t>
      </w:r>
      <w:r>
        <w:rPr>
          <w:rFonts w:ascii="Arial" w:hAnsi="Arial" w:cs="Arial"/>
          <w:sz w:val="22"/>
          <w:szCs w:val="22"/>
        </w:rPr>
        <w:t>Richard Wilson</w:t>
      </w:r>
    </w:p>
    <w:p w14:paraId="610588CC" w14:textId="5D9CD05A" w:rsidR="00553A1A" w:rsidRPr="00791057" w:rsidRDefault="00553A1A" w:rsidP="00553A1A">
      <w:pPr>
        <w:pStyle w:val="BodyText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 xml:space="preserve">Version: </w:t>
      </w:r>
      <w:r>
        <w:rPr>
          <w:rFonts w:ascii="Arial" w:hAnsi="Arial" w:cs="Arial"/>
          <w:sz w:val="22"/>
          <w:szCs w:val="22"/>
        </w:rPr>
        <w:t>2</w:t>
      </w:r>
      <w:r w:rsidRPr="00791057">
        <w:rPr>
          <w:rFonts w:ascii="Arial" w:hAnsi="Arial" w:cs="Arial"/>
          <w:sz w:val="22"/>
          <w:szCs w:val="22"/>
        </w:rPr>
        <w:t>.0</w:t>
      </w:r>
    </w:p>
    <w:p w14:paraId="2C5DD839" w14:textId="77777777" w:rsidR="00553A1A" w:rsidRPr="00791057" w:rsidRDefault="00553A1A" w:rsidP="00553A1A">
      <w:pPr>
        <w:pStyle w:val="BodyText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Review Frequency: Annual</w:t>
      </w:r>
    </w:p>
    <w:p w14:paraId="273CBB94" w14:textId="77777777" w:rsidR="00553A1A" w:rsidRPr="00791057" w:rsidRDefault="00553A1A" w:rsidP="00553A1A">
      <w:pPr>
        <w:pStyle w:val="BodyText"/>
        <w:rPr>
          <w:rFonts w:ascii="Arial" w:hAnsi="Arial" w:cs="Arial"/>
          <w:sz w:val="22"/>
          <w:szCs w:val="22"/>
        </w:rPr>
      </w:pPr>
      <w:r w:rsidRPr="00791057">
        <w:rPr>
          <w:rFonts w:ascii="Arial" w:hAnsi="Arial" w:cs="Arial"/>
          <w:sz w:val="22"/>
          <w:szCs w:val="22"/>
        </w:rPr>
        <w:t>Next Review Date: June 2027</w:t>
      </w:r>
      <w:bookmarkEnd w:id="0"/>
      <w:bookmarkEnd w:id="14"/>
    </w:p>
    <w:p w14:paraId="05806262" w14:textId="77777777" w:rsidR="00553A1A" w:rsidRDefault="00553A1A" w:rsidP="007B0FAA">
      <w:pPr>
        <w:pStyle w:val="Address"/>
        <w:jc w:val="left"/>
        <w:rPr>
          <w:sz w:val="20"/>
          <w:szCs w:val="20"/>
        </w:rPr>
      </w:pPr>
    </w:p>
    <w:sectPr w:rsidR="00553A1A">
      <w:pgSz w:w="11906" w:h="16838"/>
      <w:pgMar w:top="360" w:right="1800" w:bottom="899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6520143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5C0081"/>
    <w:multiLevelType w:val="hybridMultilevel"/>
    <w:tmpl w:val="4D18F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066C"/>
    <w:multiLevelType w:val="hybridMultilevel"/>
    <w:tmpl w:val="D090D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ED3"/>
    <w:multiLevelType w:val="multilevel"/>
    <w:tmpl w:val="9410B1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B62F19"/>
    <w:multiLevelType w:val="hybridMultilevel"/>
    <w:tmpl w:val="1C1CBF0A"/>
    <w:lvl w:ilvl="0" w:tplc="2FC27B56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C1A5E"/>
    <w:multiLevelType w:val="multilevel"/>
    <w:tmpl w:val="9B38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E3038"/>
    <w:multiLevelType w:val="multilevel"/>
    <w:tmpl w:val="45FE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D90A1D"/>
    <w:multiLevelType w:val="multilevel"/>
    <w:tmpl w:val="5F2A66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5745FD"/>
    <w:multiLevelType w:val="multilevel"/>
    <w:tmpl w:val="88C6AD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6C62A8F"/>
    <w:multiLevelType w:val="multilevel"/>
    <w:tmpl w:val="38EAE0B0"/>
    <w:lvl w:ilvl="0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7323AD"/>
    <w:multiLevelType w:val="multilevel"/>
    <w:tmpl w:val="DDB275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782022"/>
    <w:multiLevelType w:val="hybridMultilevel"/>
    <w:tmpl w:val="1720AF56"/>
    <w:lvl w:ilvl="0" w:tplc="080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2" w15:restartNumberingAfterBreak="0">
    <w:nsid w:val="30637B43"/>
    <w:multiLevelType w:val="multilevel"/>
    <w:tmpl w:val="168C46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D955032"/>
    <w:multiLevelType w:val="hybridMultilevel"/>
    <w:tmpl w:val="A67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B6254"/>
    <w:multiLevelType w:val="multilevel"/>
    <w:tmpl w:val="DA82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3E6F4F"/>
    <w:multiLevelType w:val="multilevel"/>
    <w:tmpl w:val="E03E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A2473B"/>
    <w:multiLevelType w:val="hybridMultilevel"/>
    <w:tmpl w:val="13C49696"/>
    <w:lvl w:ilvl="0" w:tplc="C252494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E54F2"/>
    <w:multiLevelType w:val="multilevel"/>
    <w:tmpl w:val="FCA27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6C5B34"/>
    <w:multiLevelType w:val="multilevel"/>
    <w:tmpl w:val="62A6F1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2FB076A"/>
    <w:multiLevelType w:val="hybridMultilevel"/>
    <w:tmpl w:val="391EB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02498"/>
    <w:multiLevelType w:val="hybridMultilevel"/>
    <w:tmpl w:val="321CD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31694">
    <w:abstractNumId w:val="9"/>
  </w:num>
  <w:num w:numId="2" w16cid:durableId="1872378363">
    <w:abstractNumId w:val="18"/>
  </w:num>
  <w:num w:numId="3" w16cid:durableId="739014915">
    <w:abstractNumId w:val="6"/>
  </w:num>
  <w:num w:numId="4" w16cid:durableId="381711626">
    <w:abstractNumId w:val="7"/>
  </w:num>
  <w:num w:numId="5" w16cid:durableId="1492058854">
    <w:abstractNumId w:val="8"/>
  </w:num>
  <w:num w:numId="6" w16cid:durableId="1028291287">
    <w:abstractNumId w:val="10"/>
  </w:num>
  <w:num w:numId="7" w16cid:durableId="1179926518">
    <w:abstractNumId w:val="17"/>
  </w:num>
  <w:num w:numId="8" w16cid:durableId="310067011">
    <w:abstractNumId w:val="3"/>
  </w:num>
  <w:num w:numId="9" w16cid:durableId="1503231959">
    <w:abstractNumId w:val="12"/>
  </w:num>
  <w:num w:numId="10" w16cid:durableId="994458201">
    <w:abstractNumId w:val="11"/>
  </w:num>
  <w:num w:numId="11" w16cid:durableId="1805543217">
    <w:abstractNumId w:val="20"/>
  </w:num>
  <w:num w:numId="12" w16cid:durableId="1877157934">
    <w:abstractNumId w:val="19"/>
  </w:num>
  <w:num w:numId="13" w16cid:durableId="764689567">
    <w:abstractNumId w:val="14"/>
  </w:num>
  <w:num w:numId="14" w16cid:durableId="2114670134">
    <w:abstractNumId w:val="5"/>
  </w:num>
  <w:num w:numId="15" w16cid:durableId="1806774382">
    <w:abstractNumId w:val="15"/>
  </w:num>
  <w:num w:numId="16" w16cid:durableId="403912038">
    <w:abstractNumId w:val="1"/>
  </w:num>
  <w:num w:numId="17" w16cid:durableId="2035574051">
    <w:abstractNumId w:val="2"/>
  </w:num>
  <w:num w:numId="18" w16cid:durableId="913078519">
    <w:abstractNumId w:val="13"/>
  </w:num>
  <w:num w:numId="19" w16cid:durableId="1254894171">
    <w:abstractNumId w:val="4"/>
  </w:num>
  <w:num w:numId="20" w16cid:durableId="1250849735">
    <w:abstractNumId w:val="16"/>
  </w:num>
  <w:num w:numId="21" w16cid:durableId="145948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371"/>
    <w:rsid w:val="0000482E"/>
    <w:rsid w:val="000A7B01"/>
    <w:rsid w:val="000C583E"/>
    <w:rsid w:val="00154104"/>
    <w:rsid w:val="00231DDE"/>
    <w:rsid w:val="00295A63"/>
    <w:rsid w:val="002C3F26"/>
    <w:rsid w:val="004E7336"/>
    <w:rsid w:val="00553A1A"/>
    <w:rsid w:val="005658B0"/>
    <w:rsid w:val="005C64B2"/>
    <w:rsid w:val="005D7645"/>
    <w:rsid w:val="005F24EC"/>
    <w:rsid w:val="00636472"/>
    <w:rsid w:val="006369BD"/>
    <w:rsid w:val="00676371"/>
    <w:rsid w:val="006F34ED"/>
    <w:rsid w:val="00754A30"/>
    <w:rsid w:val="0079106D"/>
    <w:rsid w:val="007B0FAA"/>
    <w:rsid w:val="0084287D"/>
    <w:rsid w:val="0084683B"/>
    <w:rsid w:val="00877EAA"/>
    <w:rsid w:val="00983B35"/>
    <w:rsid w:val="00A94DFB"/>
    <w:rsid w:val="00AA29C0"/>
    <w:rsid w:val="00AD61CC"/>
    <w:rsid w:val="00B5190C"/>
    <w:rsid w:val="00BA2771"/>
    <w:rsid w:val="00BA7626"/>
    <w:rsid w:val="00BB7AD5"/>
    <w:rsid w:val="00C13038"/>
    <w:rsid w:val="00C26F51"/>
    <w:rsid w:val="00C417C8"/>
    <w:rsid w:val="00C50496"/>
    <w:rsid w:val="00C66395"/>
    <w:rsid w:val="00C73CDF"/>
    <w:rsid w:val="00DD346E"/>
    <w:rsid w:val="00EA0278"/>
    <w:rsid w:val="00F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C9198"/>
  <w15:docId w15:val="{E3290CAF-2EB5-4180-AB3E-6B4209C0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E04"/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53A1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553A1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Verdana" w:hAnsi="Arial" w:cs="Verdan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Name">
    <w:name w:val="Name"/>
    <w:basedOn w:val="PlainText"/>
    <w:autoRedefine/>
    <w:qFormat/>
    <w:rsid w:val="00737E04"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paragraph" w:customStyle="1" w:styleId="Overviewbullets">
    <w:name w:val="Overview bullets"/>
    <w:basedOn w:val="PlainText"/>
    <w:qFormat/>
    <w:rsid w:val="00737E04"/>
    <w:pPr>
      <w:numPr>
        <w:numId w:val="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qFormat/>
    <w:rsid w:val="00737E04"/>
    <w:pPr>
      <w:numPr>
        <w:numId w:val="0"/>
      </w:numPr>
      <w:spacing w:before="0" w:after="0"/>
      <w:jc w:val="center"/>
    </w:pPr>
  </w:style>
  <w:style w:type="paragraph" w:customStyle="1" w:styleId="ResumeHeadings">
    <w:name w:val="Resume Headings"/>
    <w:basedOn w:val="PlainText"/>
    <w:qFormat/>
    <w:rsid w:val="00737E04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BusinessNameDates">
    <w:name w:val="Business Name &amp; Dates"/>
    <w:basedOn w:val="Normal"/>
    <w:qFormat/>
    <w:rsid w:val="00737E04"/>
    <w:rPr>
      <w:rFonts w:cs="Courier New"/>
      <w:sz w:val="19"/>
      <w:szCs w:val="20"/>
    </w:rPr>
  </w:style>
  <w:style w:type="paragraph" w:styleId="PlainText">
    <w:name w:val="Plain Text"/>
    <w:basedOn w:val="Normal"/>
    <w:qFormat/>
    <w:rsid w:val="00737E04"/>
    <w:rPr>
      <w:rFonts w:ascii="Courier New" w:hAnsi="Courier New" w:cs="Courier New"/>
      <w:szCs w:val="20"/>
    </w:rPr>
  </w:style>
  <w:style w:type="paragraph" w:styleId="NoSpacing">
    <w:name w:val="No Spacing"/>
    <w:uiPriority w:val="1"/>
    <w:qFormat/>
    <w:rsid w:val="008435E3"/>
    <w:rPr>
      <w:rFonts w:ascii="Verdana" w:hAnsi="Verdana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435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3A1A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A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FirstParagraph">
    <w:name w:val="First Paragraph"/>
    <w:basedOn w:val="BodyText"/>
    <w:next w:val="BodyText"/>
    <w:qFormat/>
    <w:rsid w:val="00553A1A"/>
    <w:pPr>
      <w:suppressAutoHyphens w:val="0"/>
      <w:spacing w:before="180" w:after="180" w:line="240" w:lineRule="auto"/>
    </w:pPr>
    <w:rPr>
      <w:rFonts w:asciiTheme="minorHAnsi" w:eastAsiaTheme="minorHAnsi" w:hAnsiTheme="minorHAnsi" w:cstheme="minorBidi"/>
      <w:sz w:val="24"/>
    </w:rPr>
  </w:style>
  <w:style w:type="paragraph" w:customStyle="1" w:styleId="Compact">
    <w:name w:val="Compact"/>
    <w:basedOn w:val="BodyText"/>
    <w:qFormat/>
    <w:rsid w:val="00553A1A"/>
    <w:pPr>
      <w:suppressAutoHyphens w:val="0"/>
      <w:spacing w:before="36" w:after="36" w:line="240" w:lineRule="auto"/>
    </w:pPr>
    <w:rPr>
      <w:rFonts w:asciiTheme="minorHAnsi" w:eastAsia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3636</Characters>
  <Application>Microsoft Office Word</Application>
  <DocSecurity>0</DocSecurity>
  <Lines>110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Antonette Bodunrin</vt:lpstr>
    </vt:vector>
  </TitlesOfParts>
  <Company>TBG Learning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Antonette Bodunrin</dc:title>
  <dc:subject/>
  <dc:creator>GOlechnowicz</dc:creator>
  <dc:description/>
  <cp:lastModifiedBy>Richard Wilson</cp:lastModifiedBy>
  <cp:revision>3</cp:revision>
  <dcterms:created xsi:type="dcterms:W3CDTF">2026-06-11T11:52:00Z</dcterms:created>
  <dcterms:modified xsi:type="dcterms:W3CDTF">2026-06-11T11:58:00Z</dcterms:modified>
  <dc:language>en-US</dc:language>
</cp:coreProperties>
</file>